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5058"/>
        <w:gridCol w:w="4518"/>
      </w:tblGrid>
      <w:tr w:rsidR="00B97601" w:rsidRPr="009A5641" w14:paraId="6F1EA637" w14:textId="77777777" w:rsidTr="008676EB">
        <w:tc>
          <w:tcPr>
            <w:tcW w:w="5058" w:type="dxa"/>
            <w:tcBorders>
              <w:right w:val="single" w:sz="2" w:space="0" w:color="auto"/>
            </w:tcBorders>
          </w:tcPr>
          <w:p w14:paraId="13976D83" w14:textId="77777777" w:rsidR="00B97601" w:rsidRPr="009A5641" w:rsidRDefault="00B97601" w:rsidP="008676EB">
            <w:pPr>
              <w:spacing w:after="0"/>
              <w:rPr>
                <w:rFonts w:ascii="Arial" w:hAnsi="Arial"/>
                <w:b/>
              </w:rPr>
            </w:pPr>
            <w:r>
              <w:rPr>
                <w:rFonts w:ascii="Arial" w:hAnsi="Arial"/>
                <w:b/>
              </w:rPr>
              <w:t>Dr. Laser Practitioner</w:t>
            </w:r>
          </w:p>
          <w:p w14:paraId="3350EF6A" w14:textId="77777777" w:rsidR="00B97601" w:rsidRDefault="00B97601" w:rsidP="008676EB">
            <w:pPr>
              <w:spacing w:after="0"/>
              <w:rPr>
                <w:rFonts w:ascii="Arial" w:hAnsi="Arial"/>
                <w:sz w:val="20"/>
              </w:rPr>
            </w:pPr>
            <w:r w:rsidRPr="002B6B1A">
              <w:rPr>
                <w:rFonts w:ascii="Arial" w:hAnsi="Arial"/>
                <w:sz w:val="20"/>
              </w:rPr>
              <w:t>The Best Laser Office</w:t>
            </w:r>
          </w:p>
          <w:p w14:paraId="42FD9185" w14:textId="77777777" w:rsidR="00B97601" w:rsidRPr="009A5641" w:rsidRDefault="00B97601" w:rsidP="008676EB">
            <w:pPr>
              <w:spacing w:after="0"/>
              <w:rPr>
                <w:rFonts w:ascii="Arial" w:hAnsi="Arial"/>
                <w:sz w:val="20"/>
              </w:rPr>
            </w:pPr>
            <w:r w:rsidRPr="009A5641">
              <w:rPr>
                <w:rFonts w:ascii="Arial" w:hAnsi="Arial"/>
                <w:sz w:val="20"/>
              </w:rPr>
              <w:t>1234 Your Street</w:t>
            </w:r>
          </w:p>
          <w:p w14:paraId="14C47742" w14:textId="77777777" w:rsidR="00B97601" w:rsidRPr="009A5641" w:rsidRDefault="00B97601" w:rsidP="008676EB">
            <w:pPr>
              <w:spacing w:after="0"/>
              <w:rPr>
                <w:rFonts w:ascii="Arial" w:hAnsi="Arial"/>
                <w:sz w:val="28"/>
              </w:rPr>
            </w:pPr>
            <w:r w:rsidRPr="009A5641">
              <w:rPr>
                <w:rFonts w:ascii="Arial" w:hAnsi="Arial"/>
                <w:sz w:val="20"/>
              </w:rPr>
              <w:t>City, State 22222</w:t>
            </w:r>
          </w:p>
        </w:tc>
        <w:tc>
          <w:tcPr>
            <w:tcW w:w="4518" w:type="dxa"/>
            <w:tcBorders>
              <w:left w:val="single" w:sz="2" w:space="0" w:color="auto"/>
            </w:tcBorders>
            <w:vAlign w:val="center"/>
          </w:tcPr>
          <w:p w14:paraId="501FCD95" w14:textId="77777777" w:rsidR="00B97601" w:rsidRPr="00A02B7E" w:rsidRDefault="00B97601" w:rsidP="008676EB">
            <w:pPr>
              <w:spacing w:after="0"/>
              <w:jc w:val="right"/>
              <w:rPr>
                <w:rFonts w:ascii="Arial" w:hAnsi="Arial"/>
                <w:b/>
                <w:sz w:val="32"/>
              </w:rPr>
            </w:pPr>
            <w:r w:rsidRPr="00A02B7E">
              <w:rPr>
                <w:rFonts w:ascii="Arial" w:hAnsi="Arial"/>
                <w:b/>
                <w:sz w:val="32"/>
              </w:rPr>
              <w:t>Post Treatment Instructions</w:t>
            </w:r>
          </w:p>
        </w:tc>
      </w:tr>
    </w:tbl>
    <w:p w14:paraId="05DB8B10" w14:textId="77777777" w:rsidR="00B97601" w:rsidRPr="00074B85" w:rsidRDefault="00B97601" w:rsidP="00B97601">
      <w:pPr>
        <w:spacing w:before="360" w:after="240"/>
        <w:jc w:val="center"/>
        <w:rPr>
          <w:rFonts w:ascii="Arial" w:hAnsi="Arial"/>
          <w:b/>
          <w:sz w:val="32"/>
        </w:rPr>
      </w:pPr>
      <w:proofErr w:type="spellStart"/>
      <w:r>
        <w:rPr>
          <w:rFonts w:ascii="Arial" w:hAnsi="Arial"/>
          <w:b/>
          <w:sz w:val="32"/>
        </w:rPr>
        <w:t>NanoLaserPeel</w:t>
      </w:r>
      <w:proofErr w:type="spellEnd"/>
      <w:r w:rsidRPr="00B97601">
        <w:rPr>
          <w:rFonts w:ascii="Arial" w:hAnsi="Arial" w:cs="Arial"/>
          <w:b/>
          <w:sz w:val="32"/>
          <w:vertAlign w:val="superscript"/>
        </w:rPr>
        <w:t>™</w:t>
      </w:r>
      <w:r>
        <w:rPr>
          <w:rFonts w:ascii="Arial" w:hAnsi="Arial" w:cs="Arial"/>
          <w:b/>
          <w:sz w:val="32"/>
          <w:vertAlign w:val="superscript"/>
        </w:rPr>
        <w:t xml:space="preserve"> </w:t>
      </w:r>
      <w:r>
        <w:rPr>
          <w:rFonts w:ascii="Arial" w:hAnsi="Arial" w:cs="Arial"/>
          <w:b/>
          <w:sz w:val="32"/>
        </w:rPr>
        <w:t>(NLP</w:t>
      </w:r>
      <w:r w:rsidRPr="00B97601">
        <w:rPr>
          <w:rFonts w:ascii="Arial" w:hAnsi="Arial" w:cs="Arial"/>
          <w:b/>
          <w:sz w:val="32"/>
          <w:vertAlign w:val="superscript"/>
        </w:rPr>
        <w:t>™</w:t>
      </w:r>
      <w:r>
        <w:rPr>
          <w:rFonts w:ascii="Arial" w:hAnsi="Arial" w:cs="Arial"/>
          <w:b/>
          <w:sz w:val="32"/>
        </w:rPr>
        <w:t xml:space="preserve">) or </w:t>
      </w:r>
      <w:proofErr w:type="spellStart"/>
      <w:r>
        <w:rPr>
          <w:rFonts w:ascii="Arial" w:hAnsi="Arial"/>
          <w:b/>
          <w:sz w:val="32"/>
        </w:rPr>
        <w:t>MicroLaserPeel</w:t>
      </w:r>
      <w:proofErr w:type="spellEnd"/>
      <w:r w:rsidRPr="00E66B14">
        <w:rPr>
          <w:rFonts w:ascii="Arial" w:hAnsi="Arial"/>
          <w:b/>
          <w:sz w:val="32"/>
          <w:vertAlign w:val="superscript"/>
        </w:rPr>
        <w:t>®</w:t>
      </w:r>
      <w:r>
        <w:rPr>
          <w:rFonts w:ascii="Arial" w:hAnsi="Arial"/>
          <w:b/>
          <w:sz w:val="32"/>
        </w:rPr>
        <w:t xml:space="preserve"> (MLP</w:t>
      </w:r>
      <w:r w:rsidRPr="00E66B14">
        <w:rPr>
          <w:rFonts w:ascii="Arial" w:hAnsi="Arial"/>
          <w:b/>
          <w:sz w:val="32"/>
          <w:vertAlign w:val="superscript"/>
        </w:rPr>
        <w:t>®</w:t>
      </w:r>
      <w:r>
        <w:rPr>
          <w:rFonts w:ascii="Arial" w:hAnsi="Arial"/>
          <w:b/>
          <w:sz w:val="32"/>
        </w:rPr>
        <w:t>)</w:t>
      </w:r>
    </w:p>
    <w:p w14:paraId="52729AAF" w14:textId="77777777" w:rsidR="00B97601" w:rsidRPr="00E66B14" w:rsidRDefault="00B97601" w:rsidP="00B97601">
      <w:pPr>
        <w:spacing w:after="120"/>
        <w:rPr>
          <w:rFonts w:ascii="Arial" w:hAnsi="Arial"/>
          <w:sz w:val="22"/>
        </w:rPr>
      </w:pPr>
      <w:r w:rsidRPr="00E66B14">
        <w:rPr>
          <w:rFonts w:ascii="Arial" w:hAnsi="Arial"/>
          <w:sz w:val="22"/>
        </w:rPr>
        <w:t xml:space="preserve">Patient response can vary after </w:t>
      </w:r>
      <w:proofErr w:type="gramStart"/>
      <w:r w:rsidRPr="00E66B14">
        <w:rPr>
          <w:rFonts w:ascii="Arial" w:hAnsi="Arial"/>
          <w:sz w:val="22"/>
        </w:rPr>
        <w:t>a</w:t>
      </w:r>
      <w:proofErr w:type="gramEnd"/>
      <w:r w:rsidRPr="00E66B14">
        <w:rPr>
          <w:rFonts w:ascii="Arial" w:hAnsi="Arial"/>
          <w:sz w:val="22"/>
        </w:rPr>
        <w:t xml:space="preserve"> </w:t>
      </w:r>
      <w:r>
        <w:rPr>
          <w:rFonts w:ascii="Arial" w:hAnsi="Arial"/>
          <w:sz w:val="22"/>
        </w:rPr>
        <w:t xml:space="preserve">NLP or </w:t>
      </w:r>
      <w:r w:rsidRPr="00E66B14">
        <w:rPr>
          <w:rFonts w:ascii="Arial" w:hAnsi="Arial"/>
          <w:sz w:val="22"/>
        </w:rPr>
        <w:t>MLP</w:t>
      </w:r>
      <w:r>
        <w:rPr>
          <w:rFonts w:ascii="Arial" w:hAnsi="Arial"/>
          <w:sz w:val="22"/>
        </w:rPr>
        <w:t xml:space="preserve"> treatment. </w:t>
      </w:r>
      <w:r w:rsidRPr="00E66B14">
        <w:rPr>
          <w:rFonts w:ascii="Arial" w:hAnsi="Arial"/>
          <w:sz w:val="22"/>
        </w:rPr>
        <w:t>Erythema (redness) and possibly edema (swelling) are the desired responses within a few minutes after th</w:t>
      </w:r>
      <w:r>
        <w:rPr>
          <w:rFonts w:ascii="Arial" w:hAnsi="Arial"/>
          <w:sz w:val="22"/>
        </w:rPr>
        <w:t xml:space="preserve">e completion of the procedure. </w:t>
      </w:r>
      <w:r w:rsidRPr="00E66B14">
        <w:rPr>
          <w:rFonts w:ascii="Arial" w:hAnsi="Arial"/>
          <w:sz w:val="22"/>
        </w:rPr>
        <w:t xml:space="preserve">The degree of redness and length of healing time will increase with the depth of your peel.  </w:t>
      </w:r>
    </w:p>
    <w:p w14:paraId="11A51C6B" w14:textId="77777777" w:rsidR="00B97601" w:rsidRPr="0042792B" w:rsidRDefault="00B97601" w:rsidP="00B97601">
      <w:pPr>
        <w:pStyle w:val="ListBullet"/>
        <w:numPr>
          <w:ilvl w:val="0"/>
          <w:numId w:val="2"/>
        </w:numPr>
        <w:spacing w:before="120" w:after="120" w:line="240" w:lineRule="auto"/>
        <w:rPr>
          <w:rFonts w:ascii="Arial" w:hAnsi="Arial"/>
          <w:sz w:val="20"/>
        </w:rPr>
      </w:pPr>
      <w:r w:rsidRPr="0042792B">
        <w:rPr>
          <w:rFonts w:ascii="Arial" w:hAnsi="Arial"/>
          <w:sz w:val="20"/>
        </w:rPr>
        <w:t>Redness normally persists for 24 hours – 5 days depending upon the depth of the peel.</w:t>
      </w:r>
    </w:p>
    <w:p w14:paraId="063FFD7B"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Swelling is typically a short-term response.  Use of a cold compress or ice packs will help to relieve the swelling.  To avoid further swelling, you may choose to sleep in an upright position the first night after the treatment.</w:t>
      </w:r>
    </w:p>
    <w:p w14:paraId="5FEC0B88" w14:textId="2B6F82BF"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If an antiviral was prescribed for you, continue to take as directed.</w:t>
      </w:r>
    </w:p>
    <w:p w14:paraId="7D8354EB"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 xml:space="preserve">Post treatment discomfort may be relieved by oral pain relievers; </w:t>
      </w:r>
      <w:proofErr w:type="gramStart"/>
      <w:r w:rsidRPr="0042792B">
        <w:rPr>
          <w:rFonts w:ascii="Arial" w:hAnsi="Arial"/>
          <w:sz w:val="20"/>
        </w:rPr>
        <w:t>i.e.</w:t>
      </w:r>
      <w:proofErr w:type="gramEnd"/>
      <w:r w:rsidRPr="0042792B">
        <w:rPr>
          <w:rFonts w:ascii="Arial" w:hAnsi="Arial"/>
          <w:sz w:val="20"/>
        </w:rPr>
        <w:t xml:space="preserve"> Extra Strength Tylenol. </w:t>
      </w:r>
    </w:p>
    <w:p w14:paraId="325DA685"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A cold compress or an ice pack can be used to provide comfort if the treated area is especially warm.  This is typically only needed within the first 12 hours after the treatment.</w:t>
      </w:r>
    </w:p>
    <w:p w14:paraId="4DCA0C90"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 xml:space="preserve">Cleanse the skin two times a day with plain, lukewarm water and a gentle cleanser; </w:t>
      </w:r>
      <w:r>
        <w:rPr>
          <w:rFonts w:ascii="Arial" w:hAnsi="Arial"/>
          <w:sz w:val="20"/>
        </w:rPr>
        <w:t>(</w:t>
      </w:r>
      <w:proofErr w:type="gramStart"/>
      <w:r>
        <w:rPr>
          <w:rFonts w:ascii="Arial" w:hAnsi="Arial"/>
          <w:sz w:val="20"/>
        </w:rPr>
        <w:t>i.e.</w:t>
      </w:r>
      <w:proofErr w:type="gramEnd"/>
      <w:r>
        <w:rPr>
          <w:rFonts w:ascii="Arial" w:hAnsi="Arial"/>
          <w:sz w:val="20"/>
        </w:rPr>
        <w:t xml:space="preserve"> Cetaphil) </w:t>
      </w:r>
      <w:r w:rsidRPr="0042792B">
        <w:rPr>
          <w:rFonts w:ascii="Arial" w:hAnsi="Arial"/>
          <w:sz w:val="20"/>
        </w:rPr>
        <w:t>beginning the morning after the treatment.  Use your hands to gently apply the cleanser and water and finish by patting dry with a soft cloth.  Be careful not to rub the treated area.</w:t>
      </w:r>
    </w:p>
    <w:p w14:paraId="5B50DEC1"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 xml:space="preserve">After cleansing your face, reapply the occlusive barrier, </w:t>
      </w:r>
      <w:r>
        <w:rPr>
          <w:rFonts w:ascii="Arial" w:hAnsi="Arial"/>
          <w:sz w:val="20"/>
        </w:rPr>
        <w:t>(</w:t>
      </w:r>
      <w:proofErr w:type="gramStart"/>
      <w:r>
        <w:rPr>
          <w:rFonts w:ascii="Arial" w:hAnsi="Arial"/>
          <w:sz w:val="20"/>
        </w:rPr>
        <w:t>i.e.</w:t>
      </w:r>
      <w:proofErr w:type="gramEnd"/>
      <w:r>
        <w:rPr>
          <w:rFonts w:ascii="Arial" w:hAnsi="Arial"/>
          <w:sz w:val="20"/>
        </w:rPr>
        <w:t xml:space="preserve"> Aquaphor)</w:t>
      </w:r>
      <w:r w:rsidRPr="0042792B">
        <w:rPr>
          <w:rFonts w:ascii="Arial" w:hAnsi="Arial"/>
          <w:sz w:val="20"/>
        </w:rPr>
        <w:t xml:space="preserve"> taking care to cover all treated areas.  The occlusive barrier is needed to provide a protective barrier that will hold moisture into the skin and provide protection to the skin from pollutants in the air as the skin heals.  As a rule of thumb, the occlusive barrier is needed 1 day per 10 microns of skin treated or once skin has re-</w:t>
      </w:r>
      <w:r w:rsidR="009B22A7" w:rsidRPr="0042792B">
        <w:rPr>
          <w:rFonts w:ascii="Arial" w:hAnsi="Arial"/>
          <w:sz w:val="20"/>
        </w:rPr>
        <w:t>epithelized</w:t>
      </w:r>
      <w:r w:rsidRPr="0042792B">
        <w:rPr>
          <w:rFonts w:ascii="Arial" w:hAnsi="Arial"/>
          <w:sz w:val="20"/>
        </w:rPr>
        <w:t xml:space="preserve">.  For example: a </w:t>
      </w:r>
      <w:proofErr w:type="gramStart"/>
      <w:r w:rsidRPr="0042792B">
        <w:rPr>
          <w:rFonts w:ascii="Arial" w:hAnsi="Arial"/>
          <w:sz w:val="20"/>
        </w:rPr>
        <w:t>20 micron</w:t>
      </w:r>
      <w:proofErr w:type="gramEnd"/>
      <w:r w:rsidRPr="0042792B">
        <w:rPr>
          <w:rFonts w:ascii="Arial" w:hAnsi="Arial"/>
          <w:sz w:val="20"/>
        </w:rPr>
        <w:t xml:space="preserve"> MLP = 2 days of wearing the occlusive barrier.  Reapply the occlusive barrier as needed.  </w:t>
      </w:r>
      <w:r w:rsidRPr="0042792B">
        <w:rPr>
          <w:rFonts w:ascii="Arial" w:hAnsi="Arial"/>
          <w:b/>
          <w:sz w:val="20"/>
        </w:rPr>
        <w:t>Do not allow the treated area to dry out.</w:t>
      </w:r>
    </w:p>
    <w:p w14:paraId="487E8846"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 xml:space="preserve">Peeling and flaking generally occur within 24 hours post treatment and should be </w:t>
      </w:r>
      <w:r>
        <w:rPr>
          <w:rFonts w:ascii="Arial" w:hAnsi="Arial"/>
          <w:sz w:val="20"/>
        </w:rPr>
        <w:t xml:space="preserve">allowed to come off naturally. </w:t>
      </w:r>
      <w:r w:rsidRPr="0042792B">
        <w:rPr>
          <w:rFonts w:ascii="Arial" w:hAnsi="Arial"/>
          <w:sz w:val="20"/>
        </w:rPr>
        <w:t xml:space="preserve">DO NOT PICK, RUB, OR FORCE OFF ANY </w:t>
      </w:r>
      <w:r>
        <w:rPr>
          <w:rFonts w:ascii="Arial" w:hAnsi="Arial"/>
          <w:sz w:val="20"/>
        </w:rPr>
        <w:t>SKIN DURING THE HEALING PROCESS.</w:t>
      </w:r>
      <w:r w:rsidRPr="0042792B">
        <w:rPr>
          <w:rFonts w:ascii="Arial" w:hAnsi="Arial"/>
          <w:sz w:val="20"/>
        </w:rPr>
        <w:t xml:space="preserve"> THIS COULD RESULT IN SCARRING AND INFECTION!  Gently washing the skin more frequently will help to promote the peeling process.</w:t>
      </w:r>
    </w:p>
    <w:p w14:paraId="393ED06E"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Avoid direct sunlight for up to 2 months post treatment.</w:t>
      </w:r>
    </w:p>
    <w:p w14:paraId="39CECE20"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 xml:space="preserve">Once skin has healed (no longer wearing the occlusive barrier) you may begin to wear makeup.  If you are able to wear makeup, a sunblock should be worn on a daily basis to help prevent any hyperpigmentation issues that could be caused by direct and indirect sunlight. </w:t>
      </w:r>
    </w:p>
    <w:p w14:paraId="4DC66403"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When showering, be sure to wash your hair behind you to avoid getting shampoo directly on the treated area.</w:t>
      </w:r>
    </w:p>
    <w:p w14:paraId="4EF79E61" w14:textId="77777777" w:rsidR="00B97601" w:rsidRPr="0042792B" w:rsidRDefault="00B97601" w:rsidP="00B97601">
      <w:pPr>
        <w:pStyle w:val="ListBullet"/>
        <w:numPr>
          <w:ilvl w:val="0"/>
          <w:numId w:val="2"/>
        </w:numPr>
        <w:spacing w:after="120" w:line="240" w:lineRule="auto"/>
        <w:rPr>
          <w:rFonts w:ascii="Arial" w:hAnsi="Arial"/>
          <w:sz w:val="20"/>
        </w:rPr>
      </w:pPr>
      <w:r w:rsidRPr="0042792B">
        <w:rPr>
          <w:rFonts w:ascii="Arial" w:hAnsi="Arial"/>
          <w:sz w:val="20"/>
        </w:rPr>
        <w:t>Avoid strenuous exercise and sweating until after skin has healed.</w:t>
      </w:r>
    </w:p>
    <w:p w14:paraId="0C83E089" w14:textId="77777777" w:rsidR="00B97601" w:rsidRPr="00E66B14" w:rsidRDefault="00B97601" w:rsidP="00B97601">
      <w:pPr>
        <w:spacing w:after="0"/>
        <w:rPr>
          <w:rFonts w:ascii="Arial" w:hAnsi="Arial"/>
          <w:b/>
          <w:sz w:val="22"/>
        </w:rPr>
      </w:pPr>
      <w:r w:rsidRPr="00E66B14">
        <w:rPr>
          <w:rFonts w:ascii="Arial" w:hAnsi="Arial"/>
          <w:b/>
          <w:sz w:val="22"/>
        </w:rPr>
        <w:t>Warning</w:t>
      </w:r>
    </w:p>
    <w:p w14:paraId="3A498D76" w14:textId="77777777" w:rsidR="00B97601" w:rsidRPr="00E66B14" w:rsidRDefault="00B97601" w:rsidP="00B97601">
      <w:pPr>
        <w:spacing w:after="120"/>
        <w:rPr>
          <w:rFonts w:ascii="Arial" w:hAnsi="Arial"/>
          <w:sz w:val="22"/>
        </w:rPr>
      </w:pPr>
      <w:r w:rsidRPr="00E66B14">
        <w:rPr>
          <w:rFonts w:ascii="Arial" w:hAnsi="Arial"/>
          <w:sz w:val="22"/>
        </w:rPr>
        <w:t>There may be some degree of swel</w:t>
      </w:r>
      <w:r>
        <w:rPr>
          <w:rFonts w:ascii="Arial" w:hAnsi="Arial"/>
          <w:sz w:val="22"/>
        </w:rPr>
        <w:t xml:space="preserve">ling immediately post </w:t>
      </w:r>
      <w:r w:rsidR="009B22A7">
        <w:rPr>
          <w:rFonts w:ascii="Arial" w:hAnsi="Arial"/>
          <w:sz w:val="22"/>
        </w:rPr>
        <w:t>treatment;</w:t>
      </w:r>
      <w:r w:rsidRPr="00E66B14">
        <w:rPr>
          <w:rFonts w:ascii="Arial" w:hAnsi="Arial"/>
          <w:sz w:val="22"/>
        </w:rPr>
        <w:t xml:space="preserve"> however, if you have excessive swelling or any of the following signs of infection, you should contact the office immediately.  Signs of infection include:</w:t>
      </w:r>
    </w:p>
    <w:p w14:paraId="32C4A95B" w14:textId="77777777" w:rsidR="00B97601" w:rsidRPr="003958F1" w:rsidRDefault="00B97601" w:rsidP="00B97601">
      <w:pPr>
        <w:pStyle w:val="ListParagraph"/>
        <w:numPr>
          <w:ilvl w:val="0"/>
          <w:numId w:val="1"/>
        </w:numPr>
        <w:spacing w:after="120"/>
        <w:rPr>
          <w:rFonts w:ascii="Arial" w:hAnsi="Arial"/>
          <w:sz w:val="20"/>
        </w:rPr>
      </w:pPr>
      <w:r w:rsidRPr="003958F1">
        <w:rPr>
          <w:rFonts w:ascii="Arial" w:hAnsi="Arial"/>
          <w:sz w:val="20"/>
        </w:rPr>
        <w:t>Drainage – looks like pus</w:t>
      </w:r>
    </w:p>
    <w:p w14:paraId="3DA1D875" w14:textId="77777777" w:rsidR="00B97601" w:rsidRPr="003958F1" w:rsidRDefault="00B97601" w:rsidP="00B97601">
      <w:pPr>
        <w:pStyle w:val="ListParagraph"/>
        <w:numPr>
          <w:ilvl w:val="0"/>
          <w:numId w:val="1"/>
        </w:numPr>
        <w:spacing w:after="120"/>
        <w:rPr>
          <w:rFonts w:ascii="Arial" w:hAnsi="Arial"/>
          <w:sz w:val="20"/>
        </w:rPr>
      </w:pPr>
      <w:r w:rsidRPr="003958F1">
        <w:rPr>
          <w:rFonts w:ascii="Arial" w:hAnsi="Arial"/>
          <w:sz w:val="20"/>
        </w:rPr>
        <w:t>Increased warmth at or around the treated area</w:t>
      </w:r>
    </w:p>
    <w:p w14:paraId="04F9D687" w14:textId="77777777" w:rsidR="00B97601" w:rsidRPr="003958F1" w:rsidRDefault="00B97601" w:rsidP="00B97601">
      <w:pPr>
        <w:pStyle w:val="ListParagraph"/>
        <w:numPr>
          <w:ilvl w:val="0"/>
          <w:numId w:val="1"/>
        </w:numPr>
        <w:rPr>
          <w:rFonts w:ascii="Arial" w:hAnsi="Arial"/>
          <w:sz w:val="20"/>
        </w:rPr>
      </w:pPr>
      <w:r w:rsidRPr="003958F1">
        <w:rPr>
          <w:rFonts w:ascii="Arial" w:hAnsi="Arial"/>
          <w:sz w:val="20"/>
        </w:rPr>
        <w:t>Fever of 101.5 or greater</w:t>
      </w:r>
    </w:p>
    <w:tbl>
      <w:tblPr>
        <w:tblW w:w="9725" w:type="dxa"/>
        <w:tblLook w:val="00A0" w:firstRow="1" w:lastRow="0" w:firstColumn="1" w:lastColumn="0" w:noHBand="0" w:noVBand="0"/>
      </w:tblPr>
      <w:tblGrid>
        <w:gridCol w:w="3400"/>
        <w:gridCol w:w="3473"/>
        <w:gridCol w:w="2852"/>
      </w:tblGrid>
      <w:tr w:rsidR="00B97601" w:rsidRPr="00B97601" w14:paraId="5BD4DB8B" w14:textId="77777777" w:rsidTr="008676EB">
        <w:trPr>
          <w:trHeight w:val="396"/>
        </w:trPr>
        <w:tc>
          <w:tcPr>
            <w:tcW w:w="9725" w:type="dxa"/>
            <w:gridSpan w:val="3"/>
          </w:tcPr>
          <w:p w14:paraId="7FA79A3C" w14:textId="77777777" w:rsidR="00B97601" w:rsidRPr="00B97601" w:rsidRDefault="00B97601" w:rsidP="008676EB">
            <w:pPr>
              <w:spacing w:after="0"/>
              <w:rPr>
                <w:rFonts w:ascii="Arial" w:hAnsi="Arial"/>
                <w:b/>
                <w:sz w:val="20"/>
              </w:rPr>
            </w:pPr>
            <w:r w:rsidRPr="00B97601">
              <w:rPr>
                <w:rFonts w:ascii="Arial" w:hAnsi="Arial"/>
                <w:b/>
                <w:sz w:val="20"/>
              </w:rPr>
              <w:t>Patient signature ______________________________________________________________________</w:t>
            </w:r>
          </w:p>
        </w:tc>
      </w:tr>
      <w:tr w:rsidR="00B97601" w:rsidRPr="00B97601" w14:paraId="3ACF335E" w14:textId="77777777" w:rsidTr="008676EB">
        <w:trPr>
          <w:trHeight w:val="360"/>
        </w:trPr>
        <w:tc>
          <w:tcPr>
            <w:tcW w:w="3400" w:type="dxa"/>
            <w:vAlign w:val="bottom"/>
          </w:tcPr>
          <w:p w14:paraId="0FF74522" w14:textId="77777777" w:rsidR="00B97601" w:rsidRPr="00B97601" w:rsidRDefault="00B97601" w:rsidP="008676EB">
            <w:pPr>
              <w:spacing w:after="0"/>
              <w:rPr>
                <w:rFonts w:ascii="Arial" w:hAnsi="Arial"/>
                <w:b/>
                <w:sz w:val="20"/>
              </w:rPr>
            </w:pPr>
            <w:r w:rsidRPr="00B97601">
              <w:rPr>
                <w:rFonts w:ascii="Arial" w:hAnsi="Arial"/>
                <w:b/>
                <w:sz w:val="20"/>
              </w:rPr>
              <w:t>Date _______________________</w:t>
            </w:r>
          </w:p>
        </w:tc>
        <w:tc>
          <w:tcPr>
            <w:tcW w:w="3473" w:type="dxa"/>
            <w:vAlign w:val="bottom"/>
          </w:tcPr>
          <w:p w14:paraId="1C23D077" w14:textId="77777777" w:rsidR="00B97601" w:rsidRPr="00B97601" w:rsidRDefault="00B97601" w:rsidP="008676EB">
            <w:pPr>
              <w:spacing w:after="0"/>
              <w:rPr>
                <w:rFonts w:ascii="Arial" w:hAnsi="Arial"/>
                <w:b/>
                <w:sz w:val="20"/>
              </w:rPr>
            </w:pPr>
            <w:r w:rsidRPr="00B97601">
              <w:rPr>
                <w:rFonts w:ascii="Arial" w:hAnsi="Arial"/>
                <w:b/>
                <w:sz w:val="20"/>
              </w:rPr>
              <w:t>Patient ID# ___________________</w:t>
            </w:r>
          </w:p>
        </w:tc>
        <w:tc>
          <w:tcPr>
            <w:tcW w:w="2852" w:type="dxa"/>
            <w:vAlign w:val="bottom"/>
          </w:tcPr>
          <w:p w14:paraId="25013807" w14:textId="77777777" w:rsidR="00B97601" w:rsidRPr="00B97601" w:rsidRDefault="00B97601" w:rsidP="008676EB">
            <w:pPr>
              <w:spacing w:after="0"/>
              <w:rPr>
                <w:rFonts w:ascii="Arial" w:hAnsi="Arial"/>
                <w:b/>
                <w:sz w:val="20"/>
              </w:rPr>
            </w:pPr>
            <w:r w:rsidRPr="00B97601">
              <w:rPr>
                <w:rFonts w:ascii="Arial" w:hAnsi="Arial"/>
                <w:b/>
                <w:sz w:val="20"/>
              </w:rPr>
              <w:t>Witness ________________</w:t>
            </w:r>
          </w:p>
        </w:tc>
      </w:tr>
    </w:tbl>
    <w:p w14:paraId="39F27A49" w14:textId="77777777" w:rsidR="00B97601" w:rsidRPr="00CC7104" w:rsidRDefault="00B97601" w:rsidP="00B97601">
      <w:pPr>
        <w:rPr>
          <w:rFonts w:ascii="Arial" w:hAnsi="Arial"/>
          <w:sz w:val="22"/>
          <w:szCs w:val="22"/>
        </w:rPr>
      </w:pPr>
    </w:p>
    <w:sectPr w:rsidR="00B97601" w:rsidRPr="00CC7104" w:rsidSect="003958F1">
      <w:headerReference w:type="even" r:id="rId7"/>
      <w:headerReference w:type="default" r:id="rId8"/>
      <w:footerReference w:type="even" r:id="rId9"/>
      <w:footerReference w:type="default" r:id="rId10"/>
      <w:headerReference w:type="first" r:id="rId11"/>
      <w:footerReference w:type="first" r:id="rId12"/>
      <w:pgSz w:w="12240" w:h="15840"/>
      <w:pgMar w:top="634" w:right="1152" w:bottom="245"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2ED5" w14:textId="77777777" w:rsidR="008F6824" w:rsidRDefault="008F6824">
      <w:pPr>
        <w:spacing w:after="0"/>
      </w:pPr>
      <w:r>
        <w:separator/>
      </w:r>
    </w:p>
  </w:endnote>
  <w:endnote w:type="continuationSeparator" w:id="0">
    <w:p w14:paraId="24523C39" w14:textId="77777777" w:rsidR="008F6824" w:rsidRDefault="008F68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3DC5" w14:textId="77777777" w:rsidR="00963875" w:rsidRDefault="00963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583F" w14:textId="77777777" w:rsidR="00CC4667" w:rsidRPr="00CC4667" w:rsidRDefault="00963875" w:rsidP="00CC4667">
    <w:pPr>
      <w:pStyle w:val="Footer"/>
      <w:jc w:val="right"/>
      <w:rPr>
        <w:rFonts w:ascii="Arial" w:hAnsi="Arial" w:cs="Arial"/>
        <w:sz w:val="20"/>
      </w:rPr>
    </w:pPr>
    <w:r>
      <w:rPr>
        <w:rFonts w:ascii="Arial" w:hAnsi="Arial" w:cs="Arial"/>
        <w:sz w:val="20"/>
      </w:rPr>
      <w:t>2600-038-43</w:t>
    </w:r>
    <w:r w:rsidR="00CC4667" w:rsidRPr="00CC4667">
      <w:rPr>
        <w:rFonts w:ascii="Arial" w:hAnsi="Arial" w:cs="Arial"/>
        <w:sz w:val="20"/>
      </w:rPr>
      <w:t xml:space="preserve"> Rev 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4189" w14:textId="77777777" w:rsidR="00963875" w:rsidRDefault="0096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B3E5D" w14:textId="77777777" w:rsidR="008F6824" w:rsidRDefault="008F6824">
      <w:pPr>
        <w:spacing w:after="0"/>
      </w:pPr>
      <w:r>
        <w:separator/>
      </w:r>
    </w:p>
  </w:footnote>
  <w:footnote w:type="continuationSeparator" w:id="0">
    <w:p w14:paraId="4E1E7762" w14:textId="77777777" w:rsidR="008F6824" w:rsidRDefault="008F68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B67F" w14:textId="77777777" w:rsidR="00000000" w:rsidRDefault="00324BED">
    <w:pPr>
      <w:pStyle w:val="Header"/>
    </w:pPr>
    <w:r>
      <w:rPr>
        <w:noProof/>
      </w:rPr>
      <mc:AlternateContent>
        <mc:Choice Requires="wps">
          <w:drawing>
            <wp:anchor distT="0" distB="0" distL="114300" distR="114300" simplePos="0" relativeHeight="251662336" behindDoc="1" locked="0" layoutInCell="0" allowOverlap="1" wp14:anchorId="4739867C" wp14:editId="04E91F4A">
              <wp:simplePos x="0" y="0"/>
              <wp:positionH relativeFrom="margin">
                <wp:align>center</wp:align>
              </wp:positionH>
              <wp:positionV relativeFrom="margin">
                <wp:align>center</wp:align>
              </wp:positionV>
              <wp:extent cx="6918325" cy="1976755"/>
              <wp:effectExtent l="0" t="0" r="0"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918325" cy="1976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9ED504" w14:textId="77777777" w:rsidR="00324BED" w:rsidRDefault="00324BED" w:rsidP="00324BE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739867C" id="_x0000_t202" coordsize="21600,21600" o:spt="202" path="m,l,21600r21600,l21600,xe">
              <v:stroke joinstyle="miter"/>
              <v:path gradientshapeok="t" o:connecttype="rect"/>
            </v:shapetype>
            <v:shape id="WordArt 4" o:spid="_x0000_s1026" type="#_x0000_t202" style="position:absolute;margin-left:0;margin-top:0;width:544.75pt;height:155.6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" o:allowincell="f" filled="f" stroked="f">
              <v:stroke joinstyle="round"/>
              <v:path arrowok="t"/>
              <v:textbox>
                <w:txbxContent>
                  <w:p w14:paraId="749ED504" w14:textId="77777777" w:rsidR="00324BED" w:rsidRDefault="00324BED" w:rsidP="00324BE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Sample</w:t>
                    </w:r>
                  </w:p>
                </w:txbxContent>
              </v:textbox>
              <w10:wrap anchorx="margin" anchory="margin"/>
            </v:shape>
          </w:pict>
        </mc:Fallback>
      </mc:AlternateContent>
    </w:r>
    <w:r w:rsidR="00000000">
      <w:rPr>
        <w:noProof/>
      </w:rPr>
      <w:pict w14:anchorId="7E61FD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258pt;height:89pt;z-index:-251657216;mso-wrap-edited:f;mso-width-percent:0;mso-height-percent:0;mso-position-horizontal:center;mso-position-horizontal-relative:margin;mso-position-vertical:center;mso-position-vertical-relative:margin;mso-width-percent:0;mso-height-percent:0" fillcolor="black" stroked="f">
          <v:textpath style="font-family:&quot;Arial&quot;;font-size:80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CB6B" w14:textId="77777777" w:rsidR="00963875" w:rsidRDefault="00963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D7EB" w14:textId="77777777" w:rsidR="00000000" w:rsidRDefault="00000000">
    <w:pPr>
      <w:pStyle w:val="Header"/>
    </w:pPr>
    <w:r>
      <w:rPr>
        <w:noProof/>
      </w:rPr>
      <w:pict w14:anchorId="69EF2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44.75pt;height:155.6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Sample"/>
          <w10:wrap anchorx="margin" anchory="margin"/>
        </v:shape>
      </w:pict>
    </w:r>
    <w:r>
      <w:rPr>
        <w:noProof/>
      </w:rPr>
      <w:pict w14:anchorId="5ABB2E0D">
        <v:shape id="PowerPlusWaterMarkObject3" o:spid="_x0000_s1025" type="#_x0000_t136" alt="" style="position:absolute;margin-left:0;margin-top:0;width:258pt;height:89pt;z-index:-251656192;mso-wrap-edited:f;mso-width-percent:0;mso-height-percent:0;mso-position-horizontal:center;mso-position-horizontal-relative:margin;mso-position-vertical:center;mso-position-vertical-relative:margin;mso-width-percent:0;mso-height-percent:0" fillcolor="black" stroked="f">
          <v:textpath style="font-family:&quot;Arial&quot;;font-size:80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D3C8E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699599C"/>
    <w:multiLevelType w:val="hybridMultilevel"/>
    <w:tmpl w:val="E18E8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35977997">
    <w:abstractNumId w:val="1"/>
  </w:num>
  <w:num w:numId="2" w16cid:durableId="98173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01"/>
    <w:rsid w:val="000B37FF"/>
    <w:rsid w:val="001F0630"/>
    <w:rsid w:val="00324BED"/>
    <w:rsid w:val="004633BF"/>
    <w:rsid w:val="006F446A"/>
    <w:rsid w:val="008F6824"/>
    <w:rsid w:val="00963875"/>
    <w:rsid w:val="009B22A7"/>
    <w:rsid w:val="00A40941"/>
    <w:rsid w:val="00B854BA"/>
    <w:rsid w:val="00B97601"/>
    <w:rsid w:val="00CC4667"/>
    <w:rsid w:val="00D3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ECBA"/>
  <w15:docId w15:val="{59FCC8DF-10F7-C046-83C0-911E23F0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01"/>
    <w:pPr>
      <w:spacing w:line="240" w:lineRule="auto"/>
    </w:pPr>
    <w:rPr>
      <w:rFonts w:ascii="Cambria" w:eastAsia="Cambria" w:hAnsi="Cambri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97601"/>
    <w:pPr>
      <w:ind w:left="720"/>
      <w:contextualSpacing/>
    </w:pPr>
  </w:style>
  <w:style w:type="paragraph" w:styleId="ListBullet">
    <w:name w:val="List Bullet"/>
    <w:basedOn w:val="Normal"/>
    <w:uiPriority w:val="99"/>
    <w:rsid w:val="00B97601"/>
    <w:pPr>
      <w:tabs>
        <w:tab w:val="num" w:pos="360"/>
      </w:tabs>
      <w:spacing w:line="276" w:lineRule="auto"/>
      <w:ind w:left="360" w:hanging="360"/>
    </w:pPr>
    <w:rPr>
      <w:rFonts w:ascii="Calibri" w:hAnsi="Calibri"/>
      <w:sz w:val="22"/>
      <w:szCs w:val="22"/>
    </w:rPr>
  </w:style>
  <w:style w:type="paragraph" w:styleId="Header">
    <w:name w:val="header"/>
    <w:basedOn w:val="Normal"/>
    <w:link w:val="HeaderChar"/>
    <w:uiPriority w:val="99"/>
    <w:rsid w:val="00B97601"/>
    <w:pPr>
      <w:tabs>
        <w:tab w:val="center" w:pos="4320"/>
        <w:tab w:val="right" w:pos="8640"/>
      </w:tabs>
      <w:spacing w:after="0"/>
    </w:pPr>
  </w:style>
  <w:style w:type="character" w:customStyle="1" w:styleId="HeaderChar">
    <w:name w:val="Header Char"/>
    <w:basedOn w:val="DefaultParagraphFont"/>
    <w:link w:val="Header"/>
    <w:uiPriority w:val="99"/>
    <w:rsid w:val="00B97601"/>
    <w:rPr>
      <w:rFonts w:ascii="Cambria" w:eastAsia="Cambria" w:hAnsi="Cambria" w:cs="Times New Roman"/>
      <w:sz w:val="24"/>
      <w:szCs w:val="20"/>
    </w:rPr>
  </w:style>
  <w:style w:type="paragraph" w:styleId="Footer">
    <w:name w:val="footer"/>
    <w:basedOn w:val="Normal"/>
    <w:link w:val="FooterChar"/>
    <w:uiPriority w:val="99"/>
    <w:unhideWhenUsed/>
    <w:rsid w:val="00CC4667"/>
    <w:pPr>
      <w:tabs>
        <w:tab w:val="center" w:pos="4680"/>
        <w:tab w:val="right" w:pos="9360"/>
      </w:tabs>
      <w:spacing w:after="0"/>
    </w:pPr>
  </w:style>
  <w:style w:type="character" w:customStyle="1" w:styleId="FooterChar">
    <w:name w:val="Footer Char"/>
    <w:basedOn w:val="DefaultParagraphFont"/>
    <w:link w:val="Footer"/>
    <w:uiPriority w:val="99"/>
    <w:rsid w:val="00CC4667"/>
    <w:rPr>
      <w:rFonts w:ascii="Cambria" w:eastAsia="Cambria" w:hAnsi="Cambri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Ziegler</dc:creator>
  <cp:lastModifiedBy>Renee Jamerson</cp:lastModifiedBy>
  <cp:revision>2</cp:revision>
  <cp:lastPrinted>2023-08-15T01:07:00Z</cp:lastPrinted>
  <dcterms:created xsi:type="dcterms:W3CDTF">2023-08-15T01:07:00Z</dcterms:created>
  <dcterms:modified xsi:type="dcterms:W3CDTF">2023-08-15T01:07:00Z</dcterms:modified>
</cp:coreProperties>
</file>